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91" w:rsidRDefault="00A92391" w:rsidP="00A92391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73405" cy="5734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91" w:rsidRDefault="00A92391" w:rsidP="00A92391">
      <w:pPr>
        <w:jc w:val="center"/>
      </w:pPr>
      <w:r>
        <w:t>CITTA’ DI MOLFETTA</w:t>
      </w:r>
    </w:p>
    <w:p w:rsidR="005F736F" w:rsidRDefault="005F736F" w:rsidP="005F736F">
      <w:pPr>
        <w:pStyle w:val="Corpotesto"/>
        <w:spacing w:line="240" w:lineRule="auto"/>
        <w:jc w:val="center"/>
        <w:rPr>
          <w:szCs w:val="24"/>
        </w:rPr>
      </w:pPr>
      <w:r>
        <w:rPr>
          <w:szCs w:val="24"/>
        </w:rPr>
        <w:t xml:space="preserve">Il Sindaco Minervini e l’Assessore Balducci </w:t>
      </w:r>
    </w:p>
    <w:p w:rsidR="005F736F" w:rsidRDefault="005F736F" w:rsidP="005F736F">
      <w:pPr>
        <w:pStyle w:val="Corpotesto"/>
        <w:spacing w:line="240" w:lineRule="auto"/>
        <w:jc w:val="center"/>
        <w:rPr>
          <w:b/>
          <w:sz w:val="20"/>
        </w:rPr>
      </w:pPr>
    </w:p>
    <w:p w:rsidR="005F736F" w:rsidRDefault="005F736F" w:rsidP="005F736F">
      <w:pPr>
        <w:pStyle w:val="Corpotesto"/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comunicano</w:t>
      </w:r>
    </w:p>
    <w:p w:rsidR="005F736F" w:rsidRDefault="005F736F" w:rsidP="005F736F">
      <w:pPr>
        <w:pStyle w:val="Corpotesto"/>
        <w:spacing w:line="240" w:lineRule="auto"/>
        <w:jc w:val="center"/>
        <w:rPr>
          <w:b/>
          <w:sz w:val="20"/>
        </w:rPr>
      </w:pPr>
    </w:p>
    <w:p w:rsidR="00E02D77" w:rsidRDefault="009E31DA" w:rsidP="005F736F">
      <w:pPr>
        <w:pStyle w:val="Corpotesto"/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DIMINUISCONO LE TARIFFE PER LA MENSA SCOLASTICA </w:t>
      </w:r>
      <w:r w:rsidR="00FF4D3A" w:rsidRPr="00FF4D3A">
        <w:rPr>
          <w:b/>
          <w:sz w:val="20"/>
        </w:rPr>
        <w:t xml:space="preserve">2018 </w:t>
      </w:r>
      <w:r w:rsidR="00E14EE4" w:rsidRPr="00FF4D3A">
        <w:rPr>
          <w:b/>
          <w:sz w:val="20"/>
        </w:rPr>
        <w:t xml:space="preserve"> </w:t>
      </w:r>
    </w:p>
    <w:p w:rsidR="009E31DA" w:rsidRDefault="009E31DA" w:rsidP="009E31DA">
      <w:pPr>
        <w:pStyle w:val="Corpotesto"/>
        <w:spacing w:line="240" w:lineRule="auto"/>
        <w:jc w:val="center"/>
        <w:rPr>
          <w:color w:val="2C2F3B"/>
        </w:rPr>
      </w:pPr>
    </w:p>
    <w:p w:rsidR="009378E9" w:rsidRDefault="009378E9" w:rsidP="009E31DA">
      <w:pPr>
        <w:pStyle w:val="Corpotesto"/>
        <w:spacing w:line="240" w:lineRule="auto"/>
        <w:jc w:val="center"/>
        <w:rPr>
          <w:color w:val="2C2F3B"/>
        </w:rPr>
      </w:pPr>
    </w:p>
    <w:p w:rsidR="00674E50" w:rsidRDefault="005F736F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B85909">
        <w:rPr>
          <w:rFonts w:ascii="Times New Roman" w:hAnsi="Times New Roman" w:cs="Times New Roman"/>
          <w:sz w:val="24"/>
          <w:szCs w:val="24"/>
        </w:rPr>
        <w:t xml:space="preserve">altro impegno è stato mantenuto, la mensa scolastica è una </w:t>
      </w:r>
      <w:r w:rsidR="00674E50" w:rsidRPr="00AB797B">
        <w:rPr>
          <w:rFonts w:ascii="Times New Roman" w:hAnsi="Times New Roman" w:cs="Times New Roman"/>
          <w:sz w:val="24"/>
          <w:szCs w:val="24"/>
        </w:rPr>
        <w:t xml:space="preserve"> opportunità socio-pedagogica </w:t>
      </w:r>
      <w:r w:rsidR="00B85909">
        <w:rPr>
          <w:rFonts w:ascii="Times New Roman" w:hAnsi="Times New Roman" w:cs="Times New Roman"/>
          <w:sz w:val="24"/>
          <w:szCs w:val="24"/>
        </w:rPr>
        <w:t>e formativa per le dinamiche di gruppo</w:t>
      </w:r>
      <w:r w:rsidR="00DC6FE7">
        <w:rPr>
          <w:rFonts w:ascii="Times New Roman" w:hAnsi="Times New Roman" w:cs="Times New Roman"/>
          <w:sz w:val="24"/>
          <w:szCs w:val="24"/>
        </w:rPr>
        <w:t xml:space="preserve"> de</w:t>
      </w:r>
      <w:r w:rsidR="00674E50" w:rsidRPr="00AB797B">
        <w:rPr>
          <w:rFonts w:ascii="Times New Roman" w:hAnsi="Times New Roman" w:cs="Times New Roman"/>
          <w:sz w:val="24"/>
          <w:szCs w:val="24"/>
        </w:rPr>
        <w:t>i bambini</w:t>
      </w:r>
      <w:r w:rsidR="00DC6FE7">
        <w:rPr>
          <w:rFonts w:ascii="Times New Roman" w:hAnsi="Times New Roman" w:cs="Times New Roman"/>
          <w:sz w:val="24"/>
          <w:szCs w:val="24"/>
        </w:rPr>
        <w:t xml:space="preserve">. Nessun aumento per il 2018 su tutte le </w:t>
      </w:r>
      <w:r w:rsidR="006B144C">
        <w:rPr>
          <w:rFonts w:ascii="Times New Roman" w:hAnsi="Times New Roman" w:cs="Times New Roman"/>
          <w:sz w:val="24"/>
          <w:szCs w:val="24"/>
        </w:rPr>
        <w:t>t</w:t>
      </w:r>
      <w:r w:rsidR="00DC6FE7">
        <w:rPr>
          <w:rFonts w:ascii="Times New Roman" w:hAnsi="Times New Roman" w:cs="Times New Roman"/>
          <w:sz w:val="24"/>
          <w:szCs w:val="24"/>
        </w:rPr>
        <w:t>ariffe</w:t>
      </w:r>
      <w:r w:rsidR="006B144C">
        <w:rPr>
          <w:rFonts w:ascii="Times New Roman" w:hAnsi="Times New Roman" w:cs="Times New Roman"/>
          <w:sz w:val="24"/>
          <w:szCs w:val="24"/>
        </w:rPr>
        <w:t xml:space="preserve">. Per il servizio di Refezione scolastica </w:t>
      </w:r>
      <w:r w:rsidR="00DC6FE7">
        <w:rPr>
          <w:rFonts w:ascii="Times New Roman" w:hAnsi="Times New Roman" w:cs="Times New Roman"/>
          <w:sz w:val="24"/>
          <w:szCs w:val="24"/>
        </w:rPr>
        <w:t xml:space="preserve"> </w:t>
      </w:r>
      <w:r w:rsidR="003A4C8C">
        <w:rPr>
          <w:rFonts w:ascii="Times New Roman" w:hAnsi="Times New Roman" w:cs="Times New Roman"/>
          <w:sz w:val="24"/>
          <w:szCs w:val="24"/>
        </w:rPr>
        <w:t>un</w:t>
      </w:r>
      <w:r w:rsidR="00674E50" w:rsidRPr="00AB797B">
        <w:rPr>
          <w:rFonts w:ascii="Times New Roman" w:hAnsi="Times New Roman" w:cs="Times New Roman"/>
          <w:sz w:val="24"/>
          <w:szCs w:val="24"/>
        </w:rPr>
        <w:t xml:space="preserve"> ribasso delle quote di compartecipazione </w:t>
      </w:r>
      <w:r w:rsidR="006B144C">
        <w:rPr>
          <w:rFonts w:ascii="Times New Roman" w:hAnsi="Times New Roman" w:cs="Times New Roman"/>
          <w:sz w:val="24"/>
          <w:szCs w:val="24"/>
        </w:rPr>
        <w:t xml:space="preserve">degli utenti </w:t>
      </w:r>
      <w:r w:rsidR="00674E50" w:rsidRPr="00AB797B">
        <w:rPr>
          <w:rFonts w:ascii="Times New Roman" w:hAnsi="Times New Roman" w:cs="Times New Roman"/>
          <w:sz w:val="24"/>
          <w:szCs w:val="24"/>
        </w:rPr>
        <w:t>anche per il 2° e 3° figlio,  così come  descritto nelle sotto riportate  tabelle:</w:t>
      </w:r>
      <w:r w:rsidR="00674E50" w:rsidRPr="00674E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D4E" w:rsidRPr="001153C9" w:rsidRDefault="00EF5D4E" w:rsidP="00674E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5D4E" w:rsidRPr="001153C9" w:rsidRDefault="00EF5D4E" w:rsidP="00EF5D4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53C9">
        <w:rPr>
          <w:rFonts w:ascii="Times New Roman" w:hAnsi="Times New Roman" w:cs="Times New Roman"/>
          <w:b/>
          <w:sz w:val="20"/>
          <w:szCs w:val="20"/>
        </w:rPr>
        <w:t>Refezione  Scolastica Scuola dell’infanzia</w:t>
      </w:r>
    </w:p>
    <w:p w:rsidR="00674E50" w:rsidRPr="005978B3" w:rsidRDefault="00674E50" w:rsidP="005978B3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817" w:tblpY="52"/>
        <w:tblOverlap w:val="never"/>
        <w:tblW w:w="8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798"/>
        <w:gridCol w:w="798"/>
        <w:gridCol w:w="1118"/>
        <w:gridCol w:w="1277"/>
        <w:gridCol w:w="957"/>
        <w:gridCol w:w="1121"/>
      </w:tblGrid>
      <w:tr w:rsidR="009378E9" w:rsidRPr="00F74204" w:rsidTr="009378E9">
        <w:trPr>
          <w:trHeight w:val="847"/>
        </w:trPr>
        <w:tc>
          <w:tcPr>
            <w:tcW w:w="2013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ISEE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2017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2018</w:t>
            </w:r>
          </w:p>
        </w:tc>
        <w:tc>
          <w:tcPr>
            <w:tcW w:w="1118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agevolata 2°figlio 2017</w:t>
            </w:r>
          </w:p>
        </w:tc>
        <w:tc>
          <w:tcPr>
            <w:tcW w:w="1277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agevolata 2°figlio 2018</w:t>
            </w:r>
          </w:p>
        </w:tc>
        <w:tc>
          <w:tcPr>
            <w:tcW w:w="957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agevolata dal 3°figlio 2017</w:t>
            </w:r>
          </w:p>
        </w:tc>
        <w:tc>
          <w:tcPr>
            <w:tcW w:w="1121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agevolata dal 3°figlio 2018</w:t>
            </w:r>
          </w:p>
        </w:tc>
      </w:tr>
      <w:tr w:rsidR="009378E9" w:rsidRPr="00F74204" w:rsidTr="009378E9">
        <w:trPr>
          <w:trHeight w:val="273"/>
        </w:trPr>
        <w:tc>
          <w:tcPr>
            <w:tcW w:w="2013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fino a € 3.000,00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esente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esente</w:t>
            </w:r>
          </w:p>
        </w:tc>
        <w:tc>
          <w:tcPr>
            <w:tcW w:w="1118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378E9" w:rsidRPr="00F74204" w:rsidTr="009378E9">
        <w:trPr>
          <w:trHeight w:val="261"/>
        </w:trPr>
        <w:tc>
          <w:tcPr>
            <w:tcW w:w="2013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 € 3.000,01 ad € 5.500,00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€ 1,00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€ 1,00</w:t>
            </w:r>
          </w:p>
        </w:tc>
        <w:tc>
          <w:tcPr>
            <w:tcW w:w="1118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378E9" w:rsidRPr="00F74204" w:rsidTr="009378E9">
        <w:trPr>
          <w:trHeight w:val="216"/>
        </w:trPr>
        <w:tc>
          <w:tcPr>
            <w:tcW w:w="2013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 € 5.500,01 ad € 7.500,00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€ 2,40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€ 2,00</w:t>
            </w:r>
          </w:p>
        </w:tc>
        <w:tc>
          <w:tcPr>
            <w:tcW w:w="111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€ 2,00</w:t>
            </w:r>
          </w:p>
        </w:tc>
        <w:tc>
          <w:tcPr>
            <w:tcW w:w="127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€ 1,50</w:t>
            </w:r>
          </w:p>
        </w:tc>
        <w:tc>
          <w:tcPr>
            <w:tcW w:w="95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€ 1,00</w:t>
            </w:r>
          </w:p>
        </w:tc>
        <w:tc>
          <w:tcPr>
            <w:tcW w:w="1121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€ 1,00</w:t>
            </w:r>
          </w:p>
        </w:tc>
      </w:tr>
      <w:tr w:rsidR="009378E9" w:rsidRPr="00F74204" w:rsidTr="009378E9">
        <w:trPr>
          <w:trHeight w:val="134"/>
        </w:trPr>
        <w:tc>
          <w:tcPr>
            <w:tcW w:w="2013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 € 7.500,01 ad € 14.000,00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€ 2,70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€ 2,50</w:t>
            </w:r>
          </w:p>
        </w:tc>
        <w:tc>
          <w:tcPr>
            <w:tcW w:w="111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€ 2,10</w:t>
            </w:r>
          </w:p>
        </w:tc>
        <w:tc>
          <w:tcPr>
            <w:tcW w:w="127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€ 1,50</w:t>
            </w:r>
          </w:p>
        </w:tc>
        <w:tc>
          <w:tcPr>
            <w:tcW w:w="95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€ 1,20</w:t>
            </w:r>
          </w:p>
        </w:tc>
        <w:tc>
          <w:tcPr>
            <w:tcW w:w="1121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€ 1,00</w:t>
            </w:r>
          </w:p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9378E9" w:rsidRPr="00F74204" w:rsidTr="009378E9">
        <w:trPr>
          <w:trHeight w:val="198"/>
        </w:trPr>
        <w:tc>
          <w:tcPr>
            <w:tcW w:w="2013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 € 14.000,01 ad € 20.000,00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 xml:space="preserve">€ 2,90 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€ 2,70</w:t>
            </w:r>
          </w:p>
        </w:tc>
        <w:tc>
          <w:tcPr>
            <w:tcW w:w="111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 xml:space="preserve">€ 2,20 </w:t>
            </w:r>
          </w:p>
        </w:tc>
        <w:tc>
          <w:tcPr>
            <w:tcW w:w="127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€ 2,00</w:t>
            </w:r>
          </w:p>
        </w:tc>
        <w:tc>
          <w:tcPr>
            <w:tcW w:w="95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€ 1,30</w:t>
            </w:r>
          </w:p>
        </w:tc>
        <w:tc>
          <w:tcPr>
            <w:tcW w:w="1121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€ 1,00</w:t>
            </w:r>
          </w:p>
        </w:tc>
      </w:tr>
      <w:tr w:rsidR="009378E9" w:rsidRPr="00F74204" w:rsidTr="009378E9">
        <w:trPr>
          <w:trHeight w:val="272"/>
        </w:trPr>
        <w:tc>
          <w:tcPr>
            <w:tcW w:w="2013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 € 20.000,01 ad € 25.500,00 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 xml:space="preserve">€ 3,20 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€ 3,00</w:t>
            </w:r>
          </w:p>
        </w:tc>
        <w:tc>
          <w:tcPr>
            <w:tcW w:w="111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€ 2,30</w:t>
            </w:r>
          </w:p>
        </w:tc>
        <w:tc>
          <w:tcPr>
            <w:tcW w:w="127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€ 2,30</w:t>
            </w:r>
          </w:p>
        </w:tc>
        <w:tc>
          <w:tcPr>
            <w:tcW w:w="95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€ 1,40</w:t>
            </w:r>
          </w:p>
        </w:tc>
        <w:tc>
          <w:tcPr>
            <w:tcW w:w="1121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€ 1,40</w:t>
            </w:r>
          </w:p>
        </w:tc>
      </w:tr>
      <w:tr w:rsidR="009378E9" w:rsidRPr="00F74204" w:rsidTr="009378E9">
        <w:trPr>
          <w:trHeight w:val="276"/>
        </w:trPr>
        <w:tc>
          <w:tcPr>
            <w:tcW w:w="2013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 € 25.500,01 ad € 30.000,00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€ 3,70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€ 3,50</w:t>
            </w:r>
          </w:p>
        </w:tc>
        <w:tc>
          <w:tcPr>
            <w:tcW w:w="111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€ 2,50</w:t>
            </w:r>
          </w:p>
        </w:tc>
        <w:tc>
          <w:tcPr>
            <w:tcW w:w="127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€ 2,50</w:t>
            </w:r>
          </w:p>
        </w:tc>
        <w:tc>
          <w:tcPr>
            <w:tcW w:w="95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€ 1,50</w:t>
            </w:r>
          </w:p>
        </w:tc>
        <w:tc>
          <w:tcPr>
            <w:tcW w:w="1121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€ 1,50</w:t>
            </w:r>
          </w:p>
        </w:tc>
      </w:tr>
      <w:tr w:rsidR="009378E9" w:rsidRPr="00F74204" w:rsidTr="009378E9">
        <w:trPr>
          <w:trHeight w:val="280"/>
        </w:trPr>
        <w:tc>
          <w:tcPr>
            <w:tcW w:w="2013" w:type="dxa"/>
          </w:tcPr>
          <w:p w:rsidR="009378E9" w:rsidRPr="009B5E00" w:rsidRDefault="009378E9" w:rsidP="001A1CCA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 € </w:t>
            </w:r>
            <w:smartTag w:uri="urn:schemas-microsoft-com:office:smarttags" w:element="metricconverter">
              <w:smartTagPr>
                <w:attr w:name="ProductID" w:val="30.000,01 in"/>
              </w:smartTagPr>
              <w:r w:rsidRPr="009B5E0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30.000,01 in</w:t>
              </w:r>
            </w:smartTag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poi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€ 5,00</w:t>
            </w:r>
          </w:p>
        </w:tc>
        <w:tc>
          <w:tcPr>
            <w:tcW w:w="79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€ 4,50</w:t>
            </w:r>
          </w:p>
        </w:tc>
        <w:tc>
          <w:tcPr>
            <w:tcW w:w="1118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€ 2,80</w:t>
            </w:r>
          </w:p>
        </w:tc>
        <w:tc>
          <w:tcPr>
            <w:tcW w:w="127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€ 2,80</w:t>
            </w:r>
          </w:p>
        </w:tc>
        <w:tc>
          <w:tcPr>
            <w:tcW w:w="957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€ 2,00</w:t>
            </w:r>
          </w:p>
        </w:tc>
        <w:tc>
          <w:tcPr>
            <w:tcW w:w="1121" w:type="dxa"/>
          </w:tcPr>
          <w:p w:rsidR="009378E9" w:rsidRPr="009B5E00" w:rsidRDefault="009378E9" w:rsidP="001A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B5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it-IT"/>
              </w:rPr>
              <w:t>€ 2,00</w:t>
            </w:r>
          </w:p>
        </w:tc>
      </w:tr>
    </w:tbl>
    <w:p w:rsidR="00674E50" w:rsidRPr="00674E50" w:rsidRDefault="00674E50" w:rsidP="00674E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92C" w:rsidRDefault="0011592C" w:rsidP="00674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817" w:tblpY="868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"/>
        <w:gridCol w:w="708"/>
        <w:gridCol w:w="850"/>
        <w:gridCol w:w="993"/>
        <w:gridCol w:w="992"/>
        <w:gridCol w:w="1702"/>
      </w:tblGrid>
      <w:tr w:rsidR="00FF2D61" w:rsidRPr="00F74204" w:rsidTr="0012032D">
        <w:tc>
          <w:tcPr>
            <w:tcW w:w="2093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ISEE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2017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2018</w:t>
            </w:r>
          </w:p>
          <w:p w:rsidR="00FF2D61" w:rsidRPr="009B5E00" w:rsidRDefault="00FF2D61" w:rsidP="001203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agevolata 2°figlio 2017</w:t>
            </w:r>
          </w:p>
        </w:tc>
        <w:tc>
          <w:tcPr>
            <w:tcW w:w="993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agevolata 2°figlio 2018</w:t>
            </w:r>
          </w:p>
        </w:tc>
        <w:tc>
          <w:tcPr>
            <w:tcW w:w="992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agevolata dal 3°figlio 2017</w:t>
            </w:r>
          </w:p>
        </w:tc>
        <w:tc>
          <w:tcPr>
            <w:tcW w:w="1702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Tariffa agevolata dal 3°figlio 2018</w:t>
            </w:r>
          </w:p>
        </w:tc>
      </w:tr>
      <w:tr w:rsidR="00FF2D61" w:rsidRPr="00F74204" w:rsidTr="0012032D">
        <w:tc>
          <w:tcPr>
            <w:tcW w:w="2093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fino a € 3.000,00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esente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esente</w:t>
            </w:r>
          </w:p>
        </w:tc>
        <w:tc>
          <w:tcPr>
            <w:tcW w:w="850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F2D61" w:rsidRPr="00F74204" w:rsidTr="0012032D">
        <w:tc>
          <w:tcPr>
            <w:tcW w:w="2093" w:type="dxa"/>
          </w:tcPr>
          <w:p w:rsidR="00FF2D61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 € 3.000,01 ad</w:t>
            </w:r>
          </w:p>
          <w:p w:rsidR="00FF2D61" w:rsidRPr="009B5E00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€ 5.500,00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€ 1,00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€ 1,00</w:t>
            </w:r>
          </w:p>
        </w:tc>
        <w:tc>
          <w:tcPr>
            <w:tcW w:w="850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F2D61" w:rsidRPr="00F74204" w:rsidTr="0012032D">
        <w:tc>
          <w:tcPr>
            <w:tcW w:w="2093" w:type="dxa"/>
          </w:tcPr>
          <w:p w:rsidR="00FF2D61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 € 5.500,01 ad </w:t>
            </w:r>
          </w:p>
          <w:p w:rsidR="00FF2D61" w:rsidRPr="009B5E00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€ 7.500,00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€ 2,50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€ 2,00</w:t>
            </w:r>
          </w:p>
        </w:tc>
        <w:tc>
          <w:tcPr>
            <w:tcW w:w="850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€ 2,00</w:t>
            </w:r>
          </w:p>
        </w:tc>
        <w:tc>
          <w:tcPr>
            <w:tcW w:w="993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€ 1,50</w:t>
            </w:r>
          </w:p>
        </w:tc>
        <w:tc>
          <w:tcPr>
            <w:tcW w:w="99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€ 1,00</w:t>
            </w:r>
          </w:p>
        </w:tc>
        <w:tc>
          <w:tcPr>
            <w:tcW w:w="170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€ 1,00</w:t>
            </w:r>
          </w:p>
        </w:tc>
      </w:tr>
      <w:tr w:rsidR="00FF2D61" w:rsidRPr="00F74204" w:rsidTr="0012032D">
        <w:tc>
          <w:tcPr>
            <w:tcW w:w="2093" w:type="dxa"/>
          </w:tcPr>
          <w:p w:rsidR="00FF2D61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 € 7.500,01 ad </w:t>
            </w:r>
          </w:p>
          <w:p w:rsidR="00FF2D61" w:rsidRPr="009B5E00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€ 14.000,00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€ 3,00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€ 2,50</w:t>
            </w:r>
          </w:p>
        </w:tc>
        <w:tc>
          <w:tcPr>
            <w:tcW w:w="850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€ 2,40</w:t>
            </w:r>
          </w:p>
        </w:tc>
        <w:tc>
          <w:tcPr>
            <w:tcW w:w="993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€ 1,50</w:t>
            </w:r>
          </w:p>
        </w:tc>
        <w:tc>
          <w:tcPr>
            <w:tcW w:w="99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€ 1,20</w:t>
            </w:r>
          </w:p>
        </w:tc>
        <w:tc>
          <w:tcPr>
            <w:tcW w:w="170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€ 1,00</w:t>
            </w:r>
          </w:p>
        </w:tc>
      </w:tr>
      <w:tr w:rsidR="00FF2D61" w:rsidRPr="00F74204" w:rsidTr="0012032D">
        <w:tc>
          <w:tcPr>
            <w:tcW w:w="2093" w:type="dxa"/>
          </w:tcPr>
          <w:p w:rsidR="00FF2D61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 € 14.000,01 ad </w:t>
            </w:r>
          </w:p>
          <w:p w:rsidR="00FF2D61" w:rsidRPr="009B5E00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€ 20.000,00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€ 3,30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€ 3,00</w:t>
            </w:r>
          </w:p>
        </w:tc>
        <w:tc>
          <w:tcPr>
            <w:tcW w:w="850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€ 2,50</w:t>
            </w:r>
          </w:p>
        </w:tc>
        <w:tc>
          <w:tcPr>
            <w:tcW w:w="993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€ 2,00</w:t>
            </w:r>
          </w:p>
        </w:tc>
        <w:tc>
          <w:tcPr>
            <w:tcW w:w="99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€ 1,30</w:t>
            </w:r>
          </w:p>
        </w:tc>
        <w:tc>
          <w:tcPr>
            <w:tcW w:w="170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€ 1,00</w:t>
            </w:r>
          </w:p>
        </w:tc>
      </w:tr>
      <w:tr w:rsidR="00FF2D61" w:rsidRPr="00F74204" w:rsidTr="0012032D">
        <w:tc>
          <w:tcPr>
            <w:tcW w:w="2093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 </w:t>
            </w:r>
            <w:r w:rsidRPr="009B5E00">
              <w:rPr>
                <w:rFonts w:ascii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€ </w:t>
            </w: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20.000,01 ad € 25.500,00 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€ 3,60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€ 3,50</w:t>
            </w:r>
          </w:p>
        </w:tc>
        <w:tc>
          <w:tcPr>
            <w:tcW w:w="850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€ 2,60</w:t>
            </w:r>
          </w:p>
        </w:tc>
        <w:tc>
          <w:tcPr>
            <w:tcW w:w="993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€ 2,60</w:t>
            </w:r>
          </w:p>
        </w:tc>
        <w:tc>
          <w:tcPr>
            <w:tcW w:w="99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€ 1,40</w:t>
            </w:r>
          </w:p>
        </w:tc>
        <w:tc>
          <w:tcPr>
            <w:tcW w:w="170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€ 1,40</w:t>
            </w:r>
          </w:p>
        </w:tc>
      </w:tr>
      <w:tr w:rsidR="00FF2D61" w:rsidRPr="00F74204" w:rsidTr="0012032D">
        <w:tc>
          <w:tcPr>
            <w:tcW w:w="2093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 € 25.500,01 ad € 30.000,00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€ 4,00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€ 3,70</w:t>
            </w:r>
          </w:p>
        </w:tc>
        <w:tc>
          <w:tcPr>
            <w:tcW w:w="850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€ 2,70</w:t>
            </w:r>
          </w:p>
        </w:tc>
        <w:tc>
          <w:tcPr>
            <w:tcW w:w="993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€ 2,70</w:t>
            </w:r>
          </w:p>
        </w:tc>
        <w:tc>
          <w:tcPr>
            <w:tcW w:w="99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€ 1,50</w:t>
            </w:r>
          </w:p>
        </w:tc>
        <w:tc>
          <w:tcPr>
            <w:tcW w:w="170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€ 1,40</w:t>
            </w:r>
          </w:p>
        </w:tc>
      </w:tr>
      <w:tr w:rsidR="00FF2D61" w:rsidRPr="009B5E00" w:rsidTr="0012032D">
        <w:tc>
          <w:tcPr>
            <w:tcW w:w="2093" w:type="dxa"/>
          </w:tcPr>
          <w:p w:rsidR="00FF2D61" w:rsidRPr="009B5E00" w:rsidRDefault="00FF2D61" w:rsidP="0012032D">
            <w:pPr>
              <w:pStyle w:val="Titolo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 € </w:t>
            </w:r>
            <w:smartTag w:uri="urn:schemas-microsoft-com:office:smarttags" w:element="metricconverter">
              <w:smartTagPr>
                <w:attr w:name="ProductID" w:val="30.000,01 in"/>
              </w:smartTagPr>
              <w:r w:rsidRPr="009B5E0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30.000,01 in</w:t>
              </w:r>
            </w:smartTag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poi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€ 4,50</w:t>
            </w:r>
          </w:p>
        </w:tc>
        <w:tc>
          <w:tcPr>
            <w:tcW w:w="708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€ 4,20</w:t>
            </w:r>
          </w:p>
        </w:tc>
        <w:tc>
          <w:tcPr>
            <w:tcW w:w="850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€ 2,80</w:t>
            </w:r>
          </w:p>
        </w:tc>
        <w:tc>
          <w:tcPr>
            <w:tcW w:w="993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€ 2,80</w:t>
            </w:r>
          </w:p>
        </w:tc>
        <w:tc>
          <w:tcPr>
            <w:tcW w:w="99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€ 2,00</w:t>
            </w:r>
          </w:p>
        </w:tc>
        <w:tc>
          <w:tcPr>
            <w:tcW w:w="1702" w:type="dxa"/>
          </w:tcPr>
          <w:p w:rsidR="00FF2D61" w:rsidRPr="009B5E00" w:rsidRDefault="00FF2D61" w:rsidP="00120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B5E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€ 2,00</w:t>
            </w:r>
          </w:p>
        </w:tc>
      </w:tr>
    </w:tbl>
    <w:p w:rsidR="0012032D" w:rsidRDefault="0012032D" w:rsidP="005978B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1592C" w:rsidRPr="001153C9" w:rsidRDefault="00EF5D4E" w:rsidP="00E02D7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 w:rsidRPr="001153C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Refezione Scolastica Scuola Primaria</w:t>
      </w:r>
    </w:p>
    <w:p w:rsidR="0011592C" w:rsidRPr="009B5E00" w:rsidRDefault="0011592C" w:rsidP="00E02D7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11592C" w:rsidRPr="009B5E00" w:rsidRDefault="0011592C" w:rsidP="00E02D7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11592C" w:rsidRPr="009B5E00" w:rsidRDefault="0011592C" w:rsidP="00E02D7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11592C" w:rsidRPr="009B5E00" w:rsidRDefault="0011592C" w:rsidP="00E02D7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11592C" w:rsidRPr="009B5E00" w:rsidRDefault="0011592C" w:rsidP="00E02D7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9B5E00" w:rsidRDefault="009B5E00" w:rsidP="001A1C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9B5E00" w:rsidRDefault="009B5E00" w:rsidP="001A1C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9B5E00" w:rsidRDefault="009B5E00" w:rsidP="001A1C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A30394" w:rsidRDefault="00A30394" w:rsidP="001A1C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FF2D61" w:rsidRDefault="00FF2D61" w:rsidP="00E02D7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FF2D61" w:rsidRDefault="00FF2D61" w:rsidP="00E02D7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7530B6" w:rsidRPr="00674E50" w:rsidRDefault="007530B6" w:rsidP="0009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</w:p>
    <w:p w:rsidR="004D3890" w:rsidRPr="00674E50" w:rsidRDefault="004D3890" w:rsidP="0009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D3890" w:rsidRPr="00674E50" w:rsidRDefault="004D3890" w:rsidP="00093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674E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</w:p>
    <w:p w:rsidR="00C93389" w:rsidRDefault="00C93389" w:rsidP="00C3217D">
      <w:pPr>
        <w:tabs>
          <w:tab w:val="left" w:pos="4678"/>
        </w:tabs>
        <w:jc w:val="both"/>
      </w:pPr>
    </w:p>
    <w:sectPr w:rsidR="00C93389" w:rsidSect="00E7344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37E"/>
    <w:multiLevelType w:val="hybridMultilevel"/>
    <w:tmpl w:val="C252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4B72"/>
    <w:multiLevelType w:val="hybridMultilevel"/>
    <w:tmpl w:val="1E7AA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25"/>
    <w:rsid w:val="00007A46"/>
    <w:rsid w:val="000120C8"/>
    <w:rsid w:val="00016F18"/>
    <w:rsid w:val="00026F52"/>
    <w:rsid w:val="00053CBD"/>
    <w:rsid w:val="00054E53"/>
    <w:rsid w:val="00062A09"/>
    <w:rsid w:val="0006315B"/>
    <w:rsid w:val="000653EB"/>
    <w:rsid w:val="00067EED"/>
    <w:rsid w:val="00071882"/>
    <w:rsid w:val="00076BB1"/>
    <w:rsid w:val="0009337D"/>
    <w:rsid w:val="000B0030"/>
    <w:rsid w:val="000C3C38"/>
    <w:rsid w:val="000E6009"/>
    <w:rsid w:val="00101C9A"/>
    <w:rsid w:val="0010424C"/>
    <w:rsid w:val="0011312A"/>
    <w:rsid w:val="001153C9"/>
    <w:rsid w:val="0011592C"/>
    <w:rsid w:val="0012032D"/>
    <w:rsid w:val="00137F47"/>
    <w:rsid w:val="00156563"/>
    <w:rsid w:val="001818C7"/>
    <w:rsid w:val="00182ED3"/>
    <w:rsid w:val="00190A71"/>
    <w:rsid w:val="0019612E"/>
    <w:rsid w:val="001A1CCA"/>
    <w:rsid w:val="001A5120"/>
    <w:rsid w:val="001E357B"/>
    <w:rsid w:val="001E3C83"/>
    <w:rsid w:val="001E4594"/>
    <w:rsid w:val="00205F08"/>
    <w:rsid w:val="002107E4"/>
    <w:rsid w:val="00211F19"/>
    <w:rsid w:val="00212F4E"/>
    <w:rsid w:val="00224AEF"/>
    <w:rsid w:val="00233A87"/>
    <w:rsid w:val="00243927"/>
    <w:rsid w:val="00251161"/>
    <w:rsid w:val="0025175D"/>
    <w:rsid w:val="0027096F"/>
    <w:rsid w:val="00272D35"/>
    <w:rsid w:val="00284794"/>
    <w:rsid w:val="00291B4A"/>
    <w:rsid w:val="002A6FDC"/>
    <w:rsid w:val="002A7255"/>
    <w:rsid w:val="002D0625"/>
    <w:rsid w:val="002D4696"/>
    <w:rsid w:val="0032175D"/>
    <w:rsid w:val="00325DE1"/>
    <w:rsid w:val="003751A0"/>
    <w:rsid w:val="00384678"/>
    <w:rsid w:val="00391F41"/>
    <w:rsid w:val="00395E7E"/>
    <w:rsid w:val="003A4C8C"/>
    <w:rsid w:val="003B70A6"/>
    <w:rsid w:val="003C1242"/>
    <w:rsid w:val="003C3B77"/>
    <w:rsid w:val="003D1229"/>
    <w:rsid w:val="00407491"/>
    <w:rsid w:val="004270F9"/>
    <w:rsid w:val="004551CA"/>
    <w:rsid w:val="00462D72"/>
    <w:rsid w:val="004B4783"/>
    <w:rsid w:val="004B5B1F"/>
    <w:rsid w:val="004C0D52"/>
    <w:rsid w:val="004D3890"/>
    <w:rsid w:val="004D712C"/>
    <w:rsid w:val="004F469E"/>
    <w:rsid w:val="005058BD"/>
    <w:rsid w:val="00531FFB"/>
    <w:rsid w:val="00537BB5"/>
    <w:rsid w:val="00572F96"/>
    <w:rsid w:val="005853C5"/>
    <w:rsid w:val="00593ED9"/>
    <w:rsid w:val="005978B3"/>
    <w:rsid w:val="005C47DE"/>
    <w:rsid w:val="005D1C79"/>
    <w:rsid w:val="005D21F1"/>
    <w:rsid w:val="005E1304"/>
    <w:rsid w:val="005F591F"/>
    <w:rsid w:val="005F736F"/>
    <w:rsid w:val="006133CC"/>
    <w:rsid w:val="00625B30"/>
    <w:rsid w:val="00642C0F"/>
    <w:rsid w:val="00674E50"/>
    <w:rsid w:val="006808E7"/>
    <w:rsid w:val="006836B3"/>
    <w:rsid w:val="00695310"/>
    <w:rsid w:val="006A2BEB"/>
    <w:rsid w:val="006A54CA"/>
    <w:rsid w:val="006B144C"/>
    <w:rsid w:val="006D0854"/>
    <w:rsid w:val="006D43CA"/>
    <w:rsid w:val="006D7E8C"/>
    <w:rsid w:val="006E2B9F"/>
    <w:rsid w:val="007059F3"/>
    <w:rsid w:val="00727B0C"/>
    <w:rsid w:val="00732FDC"/>
    <w:rsid w:val="00743498"/>
    <w:rsid w:val="007530B6"/>
    <w:rsid w:val="00755AFB"/>
    <w:rsid w:val="00794878"/>
    <w:rsid w:val="007F56DA"/>
    <w:rsid w:val="007F6421"/>
    <w:rsid w:val="00825FEF"/>
    <w:rsid w:val="00835DE5"/>
    <w:rsid w:val="00836B92"/>
    <w:rsid w:val="008551F9"/>
    <w:rsid w:val="00864FFE"/>
    <w:rsid w:val="008701F5"/>
    <w:rsid w:val="00874EE0"/>
    <w:rsid w:val="00884BA0"/>
    <w:rsid w:val="008C499E"/>
    <w:rsid w:val="008D5B15"/>
    <w:rsid w:val="008F675D"/>
    <w:rsid w:val="00926011"/>
    <w:rsid w:val="009378E9"/>
    <w:rsid w:val="00986076"/>
    <w:rsid w:val="009A1028"/>
    <w:rsid w:val="009B305C"/>
    <w:rsid w:val="009B5E00"/>
    <w:rsid w:val="009E31DA"/>
    <w:rsid w:val="00A10F7B"/>
    <w:rsid w:val="00A30394"/>
    <w:rsid w:val="00A33464"/>
    <w:rsid w:val="00A610DA"/>
    <w:rsid w:val="00A734A7"/>
    <w:rsid w:val="00A92391"/>
    <w:rsid w:val="00AA71CC"/>
    <w:rsid w:val="00AB797B"/>
    <w:rsid w:val="00AD27A6"/>
    <w:rsid w:val="00B42D4F"/>
    <w:rsid w:val="00B45F41"/>
    <w:rsid w:val="00B618D8"/>
    <w:rsid w:val="00B80F5F"/>
    <w:rsid w:val="00B83852"/>
    <w:rsid w:val="00B85909"/>
    <w:rsid w:val="00B9347A"/>
    <w:rsid w:val="00BB126A"/>
    <w:rsid w:val="00BC2E78"/>
    <w:rsid w:val="00BD683A"/>
    <w:rsid w:val="00C0039F"/>
    <w:rsid w:val="00C3217D"/>
    <w:rsid w:val="00C53E2F"/>
    <w:rsid w:val="00C56C7B"/>
    <w:rsid w:val="00C93389"/>
    <w:rsid w:val="00C954E5"/>
    <w:rsid w:val="00CA1CB5"/>
    <w:rsid w:val="00CC0295"/>
    <w:rsid w:val="00CC1C8E"/>
    <w:rsid w:val="00CC6F8F"/>
    <w:rsid w:val="00CD6086"/>
    <w:rsid w:val="00CF4DFD"/>
    <w:rsid w:val="00D40AE3"/>
    <w:rsid w:val="00D40C26"/>
    <w:rsid w:val="00D73F63"/>
    <w:rsid w:val="00D75915"/>
    <w:rsid w:val="00D76A32"/>
    <w:rsid w:val="00DC6FE7"/>
    <w:rsid w:val="00DF3178"/>
    <w:rsid w:val="00E02D77"/>
    <w:rsid w:val="00E14EE4"/>
    <w:rsid w:val="00E2367C"/>
    <w:rsid w:val="00E24269"/>
    <w:rsid w:val="00E4254C"/>
    <w:rsid w:val="00E45785"/>
    <w:rsid w:val="00E50858"/>
    <w:rsid w:val="00E55A72"/>
    <w:rsid w:val="00E62066"/>
    <w:rsid w:val="00E7344A"/>
    <w:rsid w:val="00E75A19"/>
    <w:rsid w:val="00EB1FE0"/>
    <w:rsid w:val="00EC167F"/>
    <w:rsid w:val="00EF5D4E"/>
    <w:rsid w:val="00EF6D0F"/>
    <w:rsid w:val="00F10141"/>
    <w:rsid w:val="00F150D8"/>
    <w:rsid w:val="00F219E8"/>
    <w:rsid w:val="00F56960"/>
    <w:rsid w:val="00F62AB6"/>
    <w:rsid w:val="00F64187"/>
    <w:rsid w:val="00F74204"/>
    <w:rsid w:val="00F83F9B"/>
    <w:rsid w:val="00FC5006"/>
    <w:rsid w:val="00FC52A2"/>
    <w:rsid w:val="00FD5210"/>
    <w:rsid w:val="00FE7D1B"/>
    <w:rsid w:val="00FF2D61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F41"/>
  </w:style>
  <w:style w:type="paragraph" w:styleId="Titolo1">
    <w:name w:val="heading 1"/>
    <w:basedOn w:val="Normale"/>
    <w:next w:val="Normale"/>
    <w:link w:val="Titolo1Carattere"/>
    <w:uiPriority w:val="9"/>
    <w:qFormat/>
    <w:rsid w:val="0092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26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F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51CA"/>
    <w:pPr>
      <w:ind w:left="720"/>
      <w:contextualSpacing/>
    </w:pPr>
  </w:style>
  <w:style w:type="paragraph" w:styleId="Nessunaspaziatura">
    <w:name w:val="No Spacing"/>
    <w:uiPriority w:val="1"/>
    <w:qFormat/>
    <w:rsid w:val="0069531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2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2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5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2D7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E14EE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4E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F41"/>
  </w:style>
  <w:style w:type="paragraph" w:styleId="Titolo1">
    <w:name w:val="heading 1"/>
    <w:basedOn w:val="Normale"/>
    <w:next w:val="Normale"/>
    <w:link w:val="Titolo1Carattere"/>
    <w:uiPriority w:val="9"/>
    <w:qFormat/>
    <w:rsid w:val="0092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26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F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51CA"/>
    <w:pPr>
      <w:ind w:left="720"/>
      <w:contextualSpacing/>
    </w:pPr>
  </w:style>
  <w:style w:type="paragraph" w:styleId="Nessunaspaziatura">
    <w:name w:val="No Spacing"/>
    <w:uiPriority w:val="1"/>
    <w:qFormat/>
    <w:rsid w:val="0069531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2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2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5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2D7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E14EE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4E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E315-2944-46E4-904C-B997C5AE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2018-01-24T13:06:00Z</cp:lastPrinted>
  <dcterms:created xsi:type="dcterms:W3CDTF">2018-01-25T12:01:00Z</dcterms:created>
  <dcterms:modified xsi:type="dcterms:W3CDTF">2018-01-25T12:01:00Z</dcterms:modified>
</cp:coreProperties>
</file>